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№6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отчетным документам, представляемым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left="4770"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исполнителем НИР по гранту для проведения планового контроля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ind w:left="4770" w:right="-1"/>
        <w:jc w:val="both"/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АННОТИРОВАННЫЙ ОТЧЕТ</w:t>
      </w:r>
      <w:r>
        <w:rPr>
          <w:color w:val="000000"/>
          <w:sz w:val="28"/>
          <w:szCs w:val="28"/>
          <w:vertAlign w:val="superscript"/>
        </w:rPr>
        <w:t>(</w:t>
      </w:r>
      <w:r>
        <w:rPr>
          <w:color w:val="000000"/>
          <w:sz w:val="28"/>
          <w:szCs w:val="28"/>
        </w:rPr>
        <w:t>*</w:t>
      </w:r>
      <w:r>
        <w:rPr>
          <w:color w:val="000000"/>
          <w:sz w:val="28"/>
          <w:szCs w:val="28"/>
          <w:vertAlign w:val="superscript"/>
        </w:rPr>
        <w:t>)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spacing w:before="120"/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результатах НИР по гранту за  </w:t>
      </w:r>
      <w:r>
        <w:rPr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 год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</w:t>
      </w:r>
      <w:r>
        <w:rPr>
          <w:sz w:val="28"/>
          <w:szCs w:val="28"/>
        </w:rPr>
        <w:t xml:space="preserve">2025  </w:t>
      </w:r>
      <w:r>
        <w:rPr>
          <w:color w:val="000000"/>
          <w:sz w:val="28"/>
          <w:szCs w:val="28"/>
        </w:rPr>
        <w:t xml:space="preserve">года на соискание грантов 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поддержки научно-исследовательской работы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аспирантов и молодых сотрудников ИГУ.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Направление  </w:t>
      </w:r>
      <w:r>
        <w:rPr>
          <w:sz w:val="28"/>
          <w:szCs w:val="28"/>
        </w:rPr>
        <w:t>Биология, почвоведение и биотихнологии</w:t>
      </w:r>
      <w:r>
        <w:rPr>
          <w:color w:val="000000"/>
          <w:sz w:val="28"/>
          <w:szCs w:val="28"/>
        </w:rPr>
        <w:t xml:space="preserve">  Шифр гранта  </w:t>
      </w:r>
      <w:r>
        <w:rPr>
          <w:sz w:val="28"/>
          <w:szCs w:val="28"/>
        </w:rPr>
        <w:t>091-25-319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Наименование НИР по гранту </w:t>
      </w:r>
      <w:r>
        <w:rPr>
          <w:sz w:val="28"/>
          <w:szCs w:val="28"/>
        </w:rPr>
        <w:t>Федеральное государственное бюджетное образовательное учреждение высшего образования «Иркутский государственный университет»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Структурное подразделение (кафедра, лаборатория) </w:t>
      </w:r>
      <w:r>
        <w:rPr>
          <w:sz w:val="28"/>
          <w:szCs w:val="28"/>
        </w:rPr>
        <w:t xml:space="preserve"> Федеральное государственное бюджетное образовательное учреждение высшего обра</w:t>
      </w:r>
      <w:r>
        <w:rPr>
          <w:sz w:val="28"/>
          <w:szCs w:val="28"/>
        </w:rPr>
        <w:t>зования «Иркутский государственный университет»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Исполнитель НИР </w:t>
      </w:r>
      <w:r>
        <w:rPr>
          <w:sz w:val="28"/>
          <w:szCs w:val="28"/>
        </w:rPr>
        <w:t xml:space="preserve">  Седова Софья Сергеевна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(Ф.И.О)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Координаты исполнителя НИР</w:t>
      </w:r>
      <w:r>
        <w:rPr>
          <w:sz w:val="28"/>
          <w:szCs w:val="28"/>
        </w:rPr>
        <w:t xml:space="preserve">      </w:t>
      </w:r>
      <w:bookmarkStart w:id="0" w:name="_GoBack"/>
      <w:bookmarkEnd w:id="0"/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 w:firstLine="496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(телефон, факс, E-mail)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rPr>
          <w:sz w:val="28"/>
          <w:szCs w:val="28"/>
        </w:rPr>
      </w:pPr>
      <w:r>
        <w:rPr>
          <w:color w:val="000000"/>
          <w:sz w:val="28"/>
          <w:szCs w:val="28"/>
        </w:rPr>
        <w:t>5. Ожидаемые результаты в соответствии с заявленным планом работы</w:t>
      </w:r>
      <w:r>
        <w:rPr>
          <w:sz w:val="28"/>
          <w:szCs w:val="28"/>
        </w:rPr>
        <w:t xml:space="preserve"> 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Ожидается, что результаты исследования позволят не только выявить механизмы адаптации отдельных видов байкальских амфипод к тепловому стрессу, но и станут основой для прогноза реакции экоси</w:t>
      </w:r>
      <w:r>
        <w:rPr>
          <w:sz w:val="28"/>
          <w:szCs w:val="28"/>
        </w:rPr>
        <w:t>стемы озера Байкал в целом на воздействие глобального потепления и учащение, а также удлинение волн тепла. Полученные данные помогут оценить риски снижения численности и потенциальной утраты холодолюбивых видов, что может привести к дисбалансу в экосистемн</w:t>
      </w:r>
      <w:r>
        <w:rPr>
          <w:sz w:val="28"/>
          <w:szCs w:val="28"/>
        </w:rPr>
        <w:t>ых процессах и нарушению функционирования литоральных сообществ. Такой прогноз позволит разработать рекомендации по сохранению биоразнообразия и устойчивости экосистемы в условиях климатических изменений.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rPr>
          <w:sz w:val="28"/>
          <w:szCs w:val="28"/>
        </w:rPr>
      </w:pPr>
      <w:r>
        <w:rPr>
          <w:color w:val="000000"/>
          <w:sz w:val="28"/>
          <w:szCs w:val="28"/>
        </w:rPr>
        <w:t>6. Основные полученные научные результаты</w:t>
      </w:r>
      <w:r>
        <w:rPr>
          <w:sz w:val="28"/>
          <w:szCs w:val="28"/>
        </w:rPr>
        <w:t xml:space="preserve"> 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</w:t>
      </w:r>
      <w:r>
        <w:rPr>
          <w:sz w:val="28"/>
          <w:szCs w:val="28"/>
        </w:rPr>
        <w:t>эксперимента было изучено, как волны тепла влияют на энергетический метаболизм и поведение молоди и взрослых особей трёх видов амфипод: E. verrucosus, E. cyaneus и E. vittatus. У молоди E. verrucosus наблюдалось повышение уровня гликогена при тепловом возд</w:t>
      </w:r>
      <w:r>
        <w:rPr>
          <w:sz w:val="28"/>
          <w:szCs w:val="28"/>
        </w:rPr>
        <w:t xml:space="preserve">ействии, что, вероятно, связано с </w:t>
      </w:r>
      <w:r>
        <w:rPr>
          <w:sz w:val="28"/>
          <w:szCs w:val="28"/>
        </w:rPr>
        <w:lastRenderedPageBreak/>
        <w:t>усилением гликогеногенеза из-за высокой доступности пищи в лабораторных условиях. Взрослые особи этого вида, напротив, демонстрировали снижение лактата после экспозиции к волне тепла. Для E. cyaneus у взрослых особей не бы</w:t>
      </w:r>
      <w:r>
        <w:rPr>
          <w:sz w:val="28"/>
          <w:szCs w:val="28"/>
        </w:rPr>
        <w:t>ло отмечено значимых изменений метаболизма, а выживаемость составила 100%. Молодь этого вида при тепловом стрессе показала двукратное снижение гликогена, но выживаемость оставалась высокой — 96,67%. У E. vittatus молодь реагировала на волну тепла повышение</w:t>
      </w:r>
      <w:r>
        <w:rPr>
          <w:sz w:val="28"/>
          <w:szCs w:val="28"/>
        </w:rPr>
        <w:t>м глюкозы и гликогена, а также снижением лактата, что может свидетельствовать об усилении аэробного метаболизма и отсутствии анаэробиоза.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Сравнение поведенческих реакций показало, что взрослые особи E. verrucosus отличаются выраженной термочувствительность</w:t>
      </w:r>
      <w:r>
        <w:rPr>
          <w:sz w:val="28"/>
          <w:szCs w:val="28"/>
        </w:rPr>
        <w:t>ю и реализуют чёткую стратегию избегания перегрева: миграция начинается уже при 11,9 °C, а при 14,4–15,2 °C большинство особей перемещается на глубокие, более холодные уровни. E. vittatus проявляет менее выраженную миграционную активность: перемещение начи</w:t>
      </w:r>
      <w:r>
        <w:rPr>
          <w:sz w:val="28"/>
          <w:szCs w:val="28"/>
        </w:rPr>
        <w:t xml:space="preserve">нается при 12,8 °C, но основная часть особей предпочитает промежуточные температуры, а не самые холодные зоны. Для E. cyaneus характерна пассивная и хаотичная стратегия: значительная доля особей остаётся в прогреваемой зоне даже при 16–17,6 °C, а активная </w:t>
      </w:r>
      <w:r>
        <w:rPr>
          <w:sz w:val="28"/>
          <w:szCs w:val="28"/>
        </w:rPr>
        <w:t>миграция начинается только при превышении 18 °C. Это согласуется с их более высокой физиологической устойчивостью к тепловому стрессу.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Анализ молоди показал, что оба вида — E. verrucosus и E. vittatus — демонстрируют миграцию в более прохладные зоны при по</w:t>
      </w:r>
      <w:r>
        <w:rPr>
          <w:sz w:val="28"/>
          <w:szCs w:val="28"/>
        </w:rPr>
        <w:t>вышении температуры, однако их стратегии различаются. Молодь E. verrucosus начинает перемещаться при 16 °C и концентрируется на самых холодных уровнях, тогда как молодь E. vittatus стартует раньше (11,9–12,8 °C), но предпочитает промежуточные температуры и</w:t>
      </w:r>
      <w:r>
        <w:rPr>
          <w:sz w:val="28"/>
          <w:szCs w:val="28"/>
        </w:rPr>
        <w:t xml:space="preserve"> не стремится к максимальному охлаждению.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исследование выявило как видовые, так и возрастные различия в метаболических и поведенческих реакциях амфипод на тепловой стресс. Взрослые и молодые особи по-разному адаптируются к волнам тепла: у молоди отмечается усиление энергетических ре</w:t>
      </w:r>
      <w:r>
        <w:rPr>
          <w:sz w:val="28"/>
          <w:szCs w:val="28"/>
        </w:rPr>
        <w:t>зервов, а взрослые проявляют различные миграционные стратегии — от активного избегания перегрева до пассивного пребывания в прогреваемой зоне. Эти различия обусловлены как физиологическими особенностями видов, так и их экологической специализацией.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Предполагаемое использование результатов, в том числе в учебном процессе  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Полученные данные могут быть использованы для прогнозирования реакции водных экосистем на глобальное потепление, а также для оценки устойчивости отдельных видов к экстремальным т</w:t>
      </w:r>
      <w:r>
        <w:rPr>
          <w:sz w:val="28"/>
          <w:szCs w:val="28"/>
        </w:rPr>
        <w:t>емпературным событиям. Понимание миграционных стратегий и физиологических границ видов позволяет более эффективно планировать меры по сохранению биоразнообразия в условиях меняющегося климата.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ind w:right="-1"/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Перечень публикаций</w:t>
      </w:r>
      <w:r>
        <w:rPr>
          <w:color w:val="000000"/>
          <w:sz w:val="28"/>
          <w:szCs w:val="28"/>
          <w:vertAlign w:val="superscript"/>
        </w:rPr>
        <w:t>(</w:t>
      </w:r>
      <w:r>
        <w:rPr>
          <w:color w:val="000000"/>
          <w:sz w:val="28"/>
          <w:szCs w:val="28"/>
        </w:rPr>
        <w:t>**</w:t>
      </w:r>
      <w:r>
        <w:rPr>
          <w:color w:val="000000"/>
          <w:sz w:val="28"/>
          <w:szCs w:val="28"/>
          <w:vertAlign w:val="superscript"/>
        </w:rPr>
        <w:t>)</w:t>
      </w:r>
      <w:r>
        <w:rPr>
          <w:color w:val="000000"/>
          <w:sz w:val="28"/>
          <w:szCs w:val="28"/>
        </w:rPr>
        <w:t xml:space="preserve"> по результатам работы (статьи, докл</w:t>
      </w:r>
      <w:r>
        <w:rPr>
          <w:color w:val="000000"/>
          <w:sz w:val="28"/>
          <w:szCs w:val="28"/>
        </w:rPr>
        <w:t xml:space="preserve">ады) с приложением оттисков или рукописей, направленных в печать 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Седова, С. С. Поведенческие реакции массовых литоральных байкальских амфипод в условиях влияния волн тепла / С. С. Седова, Е. Б. Индосова, К. П. Верещагина // VIII Всероссийская молодежная н</w:t>
      </w:r>
      <w:r>
        <w:rPr>
          <w:sz w:val="28"/>
          <w:szCs w:val="28"/>
        </w:rPr>
        <w:t>аучно-практическая конференция «СОЦИАЛЬНО-ЭКОЛОГИЧЕСКИЕ ПРОБЛЕМЫ БАЙКАЛЬСКОГО РЕГИОНА И СОПРЕДЕЛЬНЫХ ТЕРРИТОРИЙ», посвященная 110-летию профессора А.Г. Егорова. — Иркутск : Изд-во ИГУ, 2026.</w:t>
      </w:r>
    </w:p>
    <w:p w:rsidR="00FA6F8F" w:rsidRDefault="00FA6F8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 НИР по гранту  ___________________________________ (Ф.И.О.)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(подпись)</w: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 Аннотированные отчеты будут размещены на сайте ИГУ</w: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10796</wp:posOffset>
                </wp:positionH>
                <wp:positionV relativeFrom="paragraph">
                  <wp:posOffset>8890</wp:posOffset>
                </wp:positionV>
                <wp:extent cx="6309360" cy="190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10796</wp:posOffset>
                </wp:positionH>
                <wp:positionV relativeFrom="paragraph">
                  <wp:posOffset>8890</wp:posOffset>
                </wp:positionV>
                <wp:extent cx="6309360" cy="19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936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A6F8F" w:rsidRDefault="009676C6">
      <w:pPr>
        <w:pBdr>
          <w:top w:val="nil"/>
          <w:left w:val="nil"/>
          <w:bottom w:val="nil"/>
          <w:right w:val="nil"/>
          <w:between w:val="nil"/>
        </w:pBdr>
        <w:spacing w:before="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** Учитываются только публикации со ссылкой на финансовую поддержку ИГУ</w:t>
      </w:r>
    </w:p>
    <w:sectPr w:rsidR="00FA6F8F">
      <w:headerReference w:type="default" r:id="rId8"/>
      <w:footerReference w:type="default" r:id="rId9"/>
      <w:pgSz w:w="11907" w:h="16840"/>
      <w:pgMar w:top="1134" w:right="992" w:bottom="1134" w:left="992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676C6">
      <w:r>
        <w:separator/>
      </w:r>
    </w:p>
  </w:endnote>
  <w:endnote w:type="continuationSeparator" w:id="0">
    <w:p w:rsidR="00000000" w:rsidRDefault="0096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7836A976-A6C4-484E-8AC8-99699C51675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5EBCA7EB-B1B8-40F1-A81B-E2DEB1D7B8D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E0C5F48-3333-46D2-BD25-E91E519363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F8F" w:rsidRDefault="009676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>
      <w:rPr>
        <w:rFonts w:ascii="Arial" w:eastAsia="Arial" w:hAnsi="Arial" w:cs="Arial"/>
        <w:noProof/>
        <w:color w:val="000000"/>
        <w:sz w:val="24"/>
        <w:szCs w:val="24"/>
      </w:rPr>
      <w:t>2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:rsidR="00FA6F8F" w:rsidRDefault="00FA6F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 w:firstLine="360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676C6">
      <w:r>
        <w:separator/>
      </w:r>
    </w:p>
  </w:footnote>
  <w:footnote w:type="continuationSeparator" w:id="0">
    <w:p w:rsidR="00000000" w:rsidRDefault="00967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F8F" w:rsidRDefault="00FA6F8F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ourier New" w:eastAsia="Courier New" w:hAnsi="Courier New" w:cs="Courier New"/>
        <w:color w:val="000000"/>
        <w:sz w:val="24"/>
        <w:szCs w:val="24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8F"/>
    <w:rsid w:val="009676C6"/>
    <w:rsid w:val="00FA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D9B9"/>
  <w15:docId w15:val="{E991A274-75AF-4498-831D-3EE9BB05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RVBYiVI9EctxLVWWQLEa1odYCw==">CgMxLjA4AHIhMWE3R2NGdzFHRFRjOGR1VFktbnlvTGlLN2dFTEdYdlkz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Потемкина Софья Викторовна</cp:lastModifiedBy>
  <cp:revision>2</cp:revision>
  <dcterms:created xsi:type="dcterms:W3CDTF">2026-06-01T07:48:00Z</dcterms:created>
  <dcterms:modified xsi:type="dcterms:W3CDTF">2026-06-01T07:48:00Z</dcterms:modified>
</cp:coreProperties>
</file>