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hanging="0" w:left="0"/>
        <w:jc w:val="center"/>
        <w:rPr/>
      </w:pPr>
      <w:r>
        <w:rPr>
          <w:b/>
        </w:rPr>
        <w:t>Министерство образования и науки Российской Федерации федеральное государственное бюджетное образовательное учреждение высшего образования</w:t>
      </w:r>
    </w:p>
    <w:p>
      <w:pPr>
        <w:pStyle w:val="Normal"/>
        <w:spacing w:lineRule="auto" w:line="259" w:before="0" w:after="46"/>
        <w:ind w:hanging="10" w:left="10" w:right="14"/>
        <w:jc w:val="center"/>
        <w:rPr/>
      </w:pPr>
      <w:r>
        <w:rPr>
          <w:b/>
        </w:rPr>
        <w:t xml:space="preserve">«ИРКУТСКИЙ ГОСУДАРСТВЕННЫЙ УНИВЕРСИТЕТ»  </w:t>
      </w:r>
    </w:p>
    <w:p>
      <w:pPr>
        <w:pStyle w:val="Normal"/>
        <w:spacing w:lineRule="auto" w:line="259" w:before="0" w:after="0"/>
        <w:ind w:hanging="10" w:left="10" w:right="11"/>
        <w:jc w:val="center"/>
        <w:rPr/>
      </w:pPr>
      <w:r>
        <w:rPr>
          <w:b/>
        </w:rPr>
        <w:t xml:space="preserve">Факультет бизнес-коммуникаций и информатики </w:t>
      </w:r>
    </w:p>
    <w:p>
      <w:pPr>
        <w:pStyle w:val="Normal"/>
        <w:spacing w:lineRule="auto" w:line="259" w:before="0" w:after="46"/>
        <w:ind w:hanging="10" w:left="10" w:right="7"/>
        <w:jc w:val="center"/>
        <w:rPr/>
      </w:pPr>
      <w:r>
        <w:rPr>
          <w:b/>
        </w:rPr>
        <w:t xml:space="preserve">объявляет набор по программе повышения квалификации </w:t>
      </w:r>
    </w:p>
    <w:p>
      <w:pPr>
        <w:pStyle w:val="Normal"/>
        <w:ind w:hanging="0" w:left="10"/>
        <w:jc w:val="center"/>
        <w:rPr>
          <w:rFonts w:ascii="Times-Bold" w:hAnsi="Times-Bold"/>
          <w:b/>
          <w:color w:val="auto"/>
          <w:sz w:val="30"/>
        </w:rPr>
      </w:pPr>
      <w:r>
        <w:rPr>
          <w:rStyle w:val="Hyperlink"/>
          <w:rFonts w:ascii="Times-Bold" w:hAnsi="Times-Bold"/>
          <w:b/>
          <w:bCs/>
          <w:color w:themeColor="hyperlink" w:val="auto"/>
          <w:sz w:val="30"/>
          <w:szCs w:val="30"/>
          <w:u w:val="none"/>
        </w:rPr>
        <w:t>«</w:t>
      </w:r>
      <w:r>
        <w:rPr>
          <w:rFonts w:ascii="Times-Bold" w:hAnsi="Times-Bold"/>
          <w:b/>
          <w:color w:val="auto"/>
          <w:sz w:val="30"/>
        </w:rPr>
        <w:t>СОВРЕМЕННЫЕ ТЕХНОЛОГИИ УПРАВЛЕНИЯ</w:t>
      </w:r>
    </w:p>
    <w:p>
      <w:pPr>
        <w:pStyle w:val="Normal"/>
        <w:ind w:hanging="0" w:left="10"/>
        <w:jc w:val="center"/>
        <w:rPr>
          <w:rFonts w:ascii="Times-Bold" w:hAnsi="Times-Bold"/>
          <w:b/>
          <w:color w:val="auto"/>
          <w:sz w:val="30"/>
        </w:rPr>
      </w:pPr>
      <w:r>
        <w:rPr>
          <w:rFonts w:ascii="Times-Bold" w:hAnsi="Times-Bold"/>
          <w:b/>
          <w:color w:val="auto"/>
          <w:sz w:val="30"/>
        </w:rPr>
        <w:t xml:space="preserve"> </w:t>
      </w:r>
      <w:r>
        <w:rPr>
          <w:rFonts w:ascii="Times-Bold" w:hAnsi="Times-Bold"/>
          <w:b/>
          <w:color w:val="auto"/>
          <w:sz w:val="30"/>
        </w:rPr>
        <w:t xml:space="preserve">РЕСТОРАНОМ ПРИ ОТЕЛЕ»  </w:t>
      </w:r>
    </w:p>
    <w:p>
      <w:pPr>
        <w:pStyle w:val="Normal"/>
        <w:ind w:hanging="0" w:left="10" w:right="10"/>
        <w:jc w:val="center"/>
        <w:rPr>
          <w:rFonts w:ascii="Times-Bold" w:hAnsi="Times-Bold"/>
          <w:b/>
          <w:color w:val="auto"/>
          <w:sz w:val="24"/>
        </w:rPr>
      </w:pPr>
      <w:r>
        <w:rPr>
          <w:rFonts w:ascii="Times-Bold" w:hAnsi="Times-Bold"/>
          <w:b/>
          <w:color w:val="auto"/>
          <w:sz w:val="24"/>
        </w:rPr>
        <w:t xml:space="preserve"> </w:t>
      </w:r>
      <w:r>
        <w:rPr>
          <w:rFonts w:ascii="Times-Bold" w:hAnsi="Times-Bold"/>
          <w:b/>
          <w:color w:val="auto"/>
          <w:sz w:val="24"/>
        </w:rPr>
        <w:t xml:space="preserve">1 месяц, 72 часа </w:t>
      </w:r>
    </w:p>
    <w:p>
      <w:pPr>
        <w:pStyle w:val="Normal"/>
        <w:spacing w:before="0" w:after="49"/>
        <w:jc w:val="center"/>
        <w:rPr>
          <w:rFonts w:ascii="Times-Roman" w:hAnsi="Times-Roman"/>
          <w:b w:val="false"/>
          <w:color w:val="auto"/>
          <w:sz w:val="24"/>
        </w:rPr>
      </w:pPr>
      <w:r>
        <w:rPr>
          <w:rFonts w:ascii="Times-Roman" w:hAnsi="Times-Roman"/>
          <w:b w:val="false"/>
          <w:color w:val="auto"/>
          <w:sz w:val="24"/>
        </w:rPr>
        <w:t xml:space="preserve"> </w:t>
      </w:r>
      <w:r>
        <w:rPr>
          <w:rFonts w:ascii="Times-Roman" w:hAnsi="Times-Roman"/>
          <w:b w:val="false"/>
          <w:color w:val="auto"/>
          <w:sz w:val="24"/>
        </w:rPr>
        <w:t xml:space="preserve">По окончании обучения выдается </w:t>
      </w:r>
      <w:r>
        <w:rPr>
          <w:rFonts w:ascii="Times-Bold" w:hAnsi="Times-Bold"/>
          <w:b/>
          <w:color w:val="auto"/>
          <w:sz w:val="24"/>
        </w:rPr>
        <w:t>удостоверение о повышении квалификации</w:t>
      </w:r>
      <w:r>
        <w:rPr>
          <w:rFonts w:ascii="Times-Roman" w:hAnsi="Times-Roman"/>
          <w:b w:val="false"/>
          <w:color w:val="auto"/>
          <w:sz w:val="24"/>
        </w:rPr>
        <w:t xml:space="preserve"> </w:t>
      </w:r>
    </w:p>
    <w:p>
      <w:pPr>
        <w:pStyle w:val="Normal"/>
        <w:spacing w:before="0" w:after="38"/>
        <w:rPr>
          <w:rFonts w:ascii="Times-Bold" w:hAnsi="Times-Bold"/>
          <w:b/>
          <w:color w:val="auto"/>
          <w:sz w:val="24"/>
        </w:rPr>
      </w:pPr>
      <w:r>
        <w:rPr>
          <w:rFonts w:ascii="Times-Bold" w:hAnsi="Times-Bold"/>
          <w:b/>
          <w:color w:val="auto"/>
          <w:sz w:val="24"/>
        </w:rPr>
        <w:t xml:space="preserve"> </w:t>
      </w:r>
    </w:p>
    <w:p>
      <w:pPr>
        <w:pStyle w:val="Normal"/>
        <w:spacing w:before="0" w:after="38"/>
        <w:rPr>
          <w:rFonts w:ascii="Times-Roman" w:hAnsi="Times-Roman"/>
          <w:b w:val="false"/>
          <w:color w:val="auto"/>
          <w:sz w:val="24"/>
        </w:rPr>
      </w:pPr>
      <w:r>
        <w:rPr>
          <w:rFonts w:ascii="Times-Bold" w:hAnsi="Times-Bold"/>
          <w:b/>
          <w:color w:val="auto"/>
          <w:sz w:val="24"/>
        </w:rPr>
        <w:t>Сроки обучения:</w:t>
      </w:r>
      <w:r>
        <w:rPr>
          <w:rFonts w:ascii="Times-Roman" w:hAnsi="Times-Roman"/>
          <w:b w:val="false"/>
          <w:color w:val="auto"/>
          <w:sz w:val="24"/>
        </w:rPr>
        <w:t xml:space="preserve"> с 10 января 2024 года по 31 января 2024 года.  </w:t>
      </w:r>
    </w:p>
    <w:p>
      <w:pPr>
        <w:pStyle w:val="Normal"/>
        <w:rPr>
          <w:rFonts w:ascii="Times-Roman" w:hAnsi="Times-Roman"/>
          <w:b w:val="false"/>
          <w:color w:val="auto"/>
          <w:sz w:val="24"/>
        </w:rPr>
      </w:pPr>
      <w:r>
        <w:rPr>
          <w:rFonts w:ascii="Times-Bold" w:hAnsi="Times-Bold"/>
          <w:b/>
          <w:color w:val="auto"/>
          <w:sz w:val="24"/>
        </w:rPr>
        <w:t>Режим занятий:</w:t>
      </w:r>
      <w:r>
        <w:rPr>
          <w:rFonts w:ascii="Times-Roman" w:hAnsi="Times-Roman"/>
          <w:b w:val="false"/>
          <w:color w:val="auto"/>
          <w:sz w:val="24"/>
        </w:rPr>
        <w:t xml:space="preserve"> 3 раза в неделю (пн, ср, пт) с 17:00-20:00 лекции, с 14:00 до 16:00 практики в отелях города Иркутска.</w:t>
      </w:r>
    </w:p>
    <w:p>
      <w:pPr>
        <w:pStyle w:val="Normal"/>
        <w:rPr>
          <w:rFonts w:ascii="Times-Roman" w:hAnsi="Times-Roman"/>
          <w:b w:val="false"/>
          <w:color w:val="auto"/>
          <w:sz w:val="24"/>
          <w:u w:val="none"/>
        </w:rPr>
      </w:pPr>
      <w:r>
        <w:rPr>
          <w:rFonts w:ascii="Times-Bold" w:hAnsi="Times-Bold"/>
          <w:b/>
          <w:color w:val="auto"/>
          <w:sz w:val="24"/>
        </w:rPr>
        <w:t>Форма обучения</w:t>
      </w:r>
      <w:r>
        <w:rPr>
          <w:rFonts w:ascii="Times-Roman" w:hAnsi="Times-Roman"/>
          <w:b w:val="false"/>
          <w:color w:val="auto"/>
          <w:sz w:val="24"/>
        </w:rPr>
        <w:t xml:space="preserve">: очно-заочная с использованием дистанционных образовательных технологий (на платформе </w:t>
      </w:r>
      <w:r>
        <w:rPr>
          <w:rFonts w:ascii="Times-Roman" w:hAnsi="Times-Roman"/>
          <w:b w:val="false"/>
          <w:color w:val="0563C1"/>
          <w:sz w:val="24"/>
          <w:u w:val="single"/>
        </w:rPr>
        <w:t>https://bkidpo.forlabs.ru</w:t>
      </w:r>
      <w:r>
        <w:rPr>
          <w:rFonts w:ascii="Times-Roman" w:hAnsi="Times-Roman"/>
          <w:b w:val="false"/>
          <w:color w:val="auto"/>
          <w:sz w:val="24"/>
          <w:u w:val="none"/>
        </w:rPr>
        <w:t xml:space="preserve">). </w:t>
      </w:r>
    </w:p>
    <w:p>
      <w:pPr>
        <w:pStyle w:val="Normal"/>
        <w:rPr>
          <w:rFonts w:ascii="Times-Roman" w:hAnsi="Times-Roman"/>
          <w:b w:val="false"/>
          <w:color w:val="auto"/>
          <w:sz w:val="24"/>
          <w:u w:val="none"/>
        </w:rPr>
      </w:pPr>
      <w:r>
        <w:rPr>
          <w:rFonts w:ascii="Times-Bold" w:hAnsi="Times-Bold"/>
          <w:b/>
          <w:color w:val="auto"/>
          <w:sz w:val="24"/>
          <w:u w:val="none"/>
        </w:rPr>
        <w:t xml:space="preserve">Преподаватели: </w:t>
      </w:r>
      <w:r>
        <w:rPr>
          <w:rFonts w:ascii="Times-Roman" w:hAnsi="Times-Roman"/>
          <w:b w:val="false"/>
          <w:color w:val="auto"/>
          <w:sz w:val="24"/>
          <w:u w:val="none"/>
        </w:rPr>
        <w:t>доценты и профессора (кандидаты и доктора наук) ИГУ, спикеры-практики, имеющие опыт управленческой работы в сфере туризма (директора, руководители подразделений, управляющие отелями). Практические занятия - в ресторанах ассоциации «Байкальская Виза».</w:t>
      </w:r>
    </w:p>
    <w:p>
      <w:pPr>
        <w:pStyle w:val="Normal"/>
        <w:rPr>
          <w:rFonts w:ascii="Times-Roman" w:hAnsi="Times-Roman"/>
          <w:b w:val="false"/>
          <w:color w:val="auto"/>
          <w:sz w:val="24"/>
          <w:u w:val="none"/>
        </w:rPr>
      </w:pPr>
      <w:r>
        <w:rPr>
          <w:rFonts w:ascii="Times-Bold" w:hAnsi="Times-Bold"/>
          <w:b/>
          <w:color w:val="auto"/>
          <w:sz w:val="24"/>
          <w:u w:val="none"/>
        </w:rPr>
        <w:t xml:space="preserve">Стоимость обучения: </w:t>
      </w:r>
      <w:r>
        <w:rPr>
          <w:rFonts w:ascii="Times-Roman" w:hAnsi="Times-Roman"/>
          <w:b w:val="false"/>
          <w:color w:val="auto"/>
          <w:sz w:val="24"/>
          <w:u w:val="none"/>
        </w:rPr>
        <w:t xml:space="preserve">12 000 рублей </w:t>
      </w:r>
    </w:p>
    <w:p>
      <w:pPr>
        <w:pStyle w:val="Normal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-Roman" w:hAnsi="Times-Roman"/>
          <w:b w:val="false"/>
          <w:color w:val="auto"/>
          <w:sz w:val="20"/>
          <w:u w:val="none"/>
        </w:rPr>
        <w:t xml:space="preserve">Программа разработана с учетом требований профессионального стандарта </w:t>
      </w:r>
      <w:r>
        <w:rPr>
          <w:rFonts w:ascii="TimesNewRomanPSMT" w:hAnsi="TimesNewRomanPSMT"/>
          <w:b w:val="false"/>
          <w:color w:val="000000"/>
          <w:sz w:val="20"/>
          <w:u w:val="none"/>
        </w:rPr>
        <w:t xml:space="preserve">«Руководитель предприятия питания» (утвержден приказом Министерства труда и социальной защиты Российской Федерации от «07» мая 2015 г. № 281н). </w:t>
      </w:r>
    </w:p>
    <w:p>
      <w:pPr>
        <w:pStyle w:val="Normal"/>
        <w:spacing w:before="0" w:after="46"/>
        <w:ind w:hanging="0" w:left="10" w:right="1"/>
        <w:jc w:val="center"/>
        <w:rPr>
          <w:rFonts w:ascii="Times-Bold" w:hAnsi="Times-Bold"/>
          <w:b/>
          <w:color w:val="auto"/>
          <w:sz w:val="20"/>
          <w:u w:val="none"/>
        </w:rPr>
      </w:pPr>
      <w:r>
        <w:rPr>
          <w:rFonts w:ascii="Times-Bold" w:hAnsi="Times-Bold"/>
          <w:b/>
          <w:color w:val="auto"/>
          <w:sz w:val="20"/>
          <w:u w:val="none"/>
        </w:rPr>
        <w:t xml:space="preserve">Программа состоит из 3-х разделов: </w:t>
      </w:r>
    </w:p>
    <w:p>
      <w:pPr>
        <w:pStyle w:val="Normal"/>
        <w:rPr>
          <w:rFonts w:ascii="Times-Bold" w:hAnsi="Times-Bold"/>
          <w:b/>
          <w:color w:val="auto"/>
          <w:sz w:val="20"/>
          <w:u w:val="none"/>
        </w:rPr>
      </w:pPr>
      <w:r>
        <w:rPr>
          <w:rFonts w:ascii="Times-Bold" w:hAnsi="Times-Bold"/>
          <w:b/>
          <w:color w:val="auto"/>
          <w:sz w:val="20"/>
          <w:u w:val="none"/>
        </w:rPr>
        <w:t>1. Нормативные основы деятельности предприятий питания</w:t>
      </w:r>
      <w:r>
        <w:rPr>
          <w:rFonts w:ascii="TimesNewRomanPS-BoldMT" w:hAnsi="TimesNewRomanPS-BoldMT"/>
          <w:b/>
          <w:color w:val="000000"/>
          <w:sz w:val="20"/>
          <w:u w:val="none"/>
        </w:rPr>
        <w:t>,</w:t>
      </w:r>
      <w:r>
        <w:rPr>
          <w:rFonts w:ascii="Times-Bold" w:hAnsi="Times-Bold"/>
          <w:b/>
          <w:color w:val="auto"/>
          <w:sz w:val="20"/>
          <w:u w:val="none"/>
        </w:rPr>
        <w:t xml:space="preserve"> 10 часов: </w:t>
      </w:r>
    </w:p>
    <w:p>
      <w:pPr>
        <w:pStyle w:val="Normal"/>
        <w:numPr>
          <w:ilvl w:val="0"/>
          <w:numId w:val="0"/>
        </w:numPr>
        <w:ind w:hanging="0" w:left="24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 xml:space="preserve">Нормативно-правовые основы деятельности в сфере общественного питания. </w:t>
      </w:r>
    </w:p>
    <w:p>
      <w:pPr>
        <w:pStyle w:val="Normal"/>
        <w:numPr>
          <w:ilvl w:val="0"/>
          <w:numId w:val="0"/>
        </w:numPr>
        <w:ind w:hanging="0" w:left="24"/>
        <w:rPr>
          <w:rFonts w:ascii="Times-Roman" w:hAnsi="Times-Roman"/>
          <w:b w:val="false"/>
          <w:color w:val="auto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>Система ХАССП в ресторане. Пищевая безопасность. Изучение документации ХАССП и прин</w:t>
      </w:r>
      <w:r>
        <w:rPr>
          <w:rFonts w:ascii="Times-Roman" w:hAnsi="Times-Roman"/>
          <w:b w:val="false"/>
          <w:color w:val="auto"/>
          <w:sz w:val="20"/>
          <w:u w:val="none"/>
        </w:rPr>
        <w:t>ципов ее заполнения, хранения.</w:t>
      </w:r>
    </w:p>
    <w:p>
      <w:pPr>
        <w:pStyle w:val="Normal"/>
        <w:rPr>
          <w:rFonts w:ascii="Times-Bold" w:hAnsi="Times-Bold"/>
          <w:b/>
          <w:color w:val="auto"/>
          <w:sz w:val="20"/>
          <w:u w:val="none"/>
        </w:rPr>
      </w:pPr>
      <w:r>
        <w:rPr>
          <w:rFonts w:ascii="Times-Bold" w:hAnsi="Times-Bold"/>
          <w:b/>
          <w:color w:val="auto"/>
          <w:sz w:val="20"/>
          <w:u w:val="none"/>
        </w:rPr>
        <w:t xml:space="preserve">2. </w:t>
      </w:r>
      <w:r>
        <w:rPr>
          <w:rFonts w:ascii="TimesNewRomanPS-BoldMT" w:hAnsi="TimesNewRomanPS-BoldMT"/>
          <w:b/>
          <w:color w:val="000000"/>
          <w:sz w:val="20"/>
          <w:u w:val="none"/>
        </w:rPr>
        <w:t>Современные технологии управления ресурсами ресторана при отеле, 30</w:t>
      </w:r>
      <w:r>
        <w:rPr>
          <w:rFonts w:ascii="Times-Bold" w:hAnsi="Times-Bold"/>
          <w:b/>
          <w:color w:val="auto"/>
          <w:sz w:val="20"/>
          <w:u w:val="none"/>
        </w:rPr>
        <w:t xml:space="preserve"> часов: </w:t>
      </w:r>
    </w:p>
    <w:p>
      <w:pPr>
        <w:pStyle w:val="Normal"/>
        <w:numPr>
          <w:ilvl w:val="0"/>
          <w:numId w:val="0"/>
        </w:numPr>
        <w:ind w:hanging="0" w:left="0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>Структура управления рестораном при отеле.</w:t>
      </w:r>
    </w:p>
    <w:p>
      <w:pPr>
        <w:pStyle w:val="Normal"/>
        <w:numPr>
          <w:ilvl w:val="0"/>
          <w:numId w:val="0"/>
        </w:numPr>
        <w:ind w:hanging="0" w:left="0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>Особенности организации бизнес-процессов в ресторане при отеле.</w:t>
      </w:r>
    </w:p>
    <w:p>
      <w:pPr>
        <w:pStyle w:val="Normal"/>
        <w:numPr>
          <w:ilvl w:val="0"/>
          <w:numId w:val="0"/>
        </w:numPr>
        <w:ind w:hanging="0" w:left="0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>Стандарты работы в ресторане.  Базовые и современные технологии контроля выполнение стандартов.</w:t>
      </w:r>
    </w:p>
    <w:p>
      <w:pPr>
        <w:pStyle w:val="Normal"/>
        <w:numPr>
          <w:ilvl w:val="0"/>
          <w:numId w:val="0"/>
        </w:numPr>
        <w:ind w:hanging="0" w:left="0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>ПО для контроля качества оказываемых в ресторане услуг (программный продукт Retaiqa).</w:t>
      </w:r>
    </w:p>
    <w:p>
      <w:pPr>
        <w:pStyle w:val="Normal"/>
        <w:numPr>
          <w:ilvl w:val="0"/>
          <w:numId w:val="0"/>
        </w:numPr>
        <w:ind w:hanging="0" w:left="0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>Виды обслуживания в ресторане при отеле: завтрак, конференция, обслуживание в номере и др. Шведский стол как основной вид услуг отеля (на примере ресторана «Европа»).</w:t>
      </w:r>
    </w:p>
    <w:p>
      <w:pPr>
        <w:pStyle w:val="Normal"/>
        <w:rPr>
          <w:rFonts w:ascii="Times-Bold" w:hAnsi="Times-Bold"/>
          <w:b/>
          <w:color w:val="auto"/>
          <w:sz w:val="20"/>
          <w:u w:val="none"/>
        </w:rPr>
      </w:pPr>
      <w:r>
        <w:rPr>
          <w:rFonts w:ascii="TimesNewRomanPS-BoldMT" w:hAnsi="TimesNewRomanPS-BoldMT"/>
          <w:b/>
          <w:color w:val="000000"/>
          <w:sz w:val="20"/>
          <w:u w:val="none"/>
        </w:rPr>
        <w:t>3.</w:t>
      </w:r>
      <w:r>
        <w:rPr>
          <w:rFonts w:ascii="TimesNewRomanPSMT" w:hAnsi="TimesNewRomanPSMT"/>
          <w:b w:val="false"/>
          <w:color w:val="000000"/>
          <w:sz w:val="20"/>
          <w:u w:val="none"/>
        </w:rPr>
        <w:t xml:space="preserve"> </w:t>
      </w:r>
      <w:r>
        <w:rPr>
          <w:rFonts w:ascii="TimesNewRomanPS-BoldMT" w:hAnsi="TimesNewRomanPS-BoldMT"/>
          <w:b/>
          <w:color w:val="000000"/>
          <w:sz w:val="20"/>
          <w:u w:val="none"/>
        </w:rPr>
        <w:t>Контроль и оценка эффективности деятельности ресторана при отеле,</w:t>
      </w:r>
      <w:r>
        <w:rPr>
          <w:rFonts w:ascii="TimesNewRomanPSMT" w:hAnsi="TimesNewRomanPSMT"/>
          <w:b w:val="false"/>
          <w:color w:val="000000"/>
          <w:sz w:val="20"/>
          <w:u w:val="none"/>
        </w:rPr>
        <w:t xml:space="preserve"> 30 ч</w:t>
      </w:r>
      <w:r>
        <w:rPr>
          <w:rFonts w:ascii="Times-Bold" w:hAnsi="Times-Bold"/>
          <w:b/>
          <w:color w:val="auto"/>
          <w:sz w:val="20"/>
          <w:u w:val="none"/>
        </w:rPr>
        <w:t>асов:</w:t>
      </w:r>
    </w:p>
    <w:p>
      <w:pPr>
        <w:pStyle w:val="Normal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>Определение показателей экономического эффекта и эффективности деятельности ресторана.</w:t>
      </w:r>
    </w:p>
    <w:p>
      <w:pPr>
        <w:pStyle w:val="Normal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>Роль и значение экономического анализа при оценке эффективности деятельности предприятия питания.</w:t>
      </w:r>
    </w:p>
    <w:p>
      <w:pPr>
        <w:pStyle w:val="Normal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>План-факторный анализ экономических показателей деятельности предприятия питания.</w:t>
      </w:r>
    </w:p>
    <w:p>
      <w:pPr>
        <w:pStyle w:val="Normal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>Формирование цен на услуги ресторана. Современные технологии учета в общественном питании (программный продукт «IIKO»).</w:t>
      </w:r>
    </w:p>
    <w:p>
      <w:pPr>
        <w:pStyle w:val="Normal"/>
        <w:rPr>
          <w:rFonts w:ascii="TimesNewRomanPSMT" w:hAnsi="TimesNewRomanPSMT"/>
          <w:b w:val="false"/>
          <w:color w:val="000000"/>
          <w:sz w:val="20"/>
          <w:u w:val="none"/>
        </w:rPr>
      </w:pPr>
      <w:r>
        <w:rPr>
          <w:rFonts w:ascii="TimesNewRomanPSMT" w:hAnsi="TimesNewRomanPSMT"/>
          <w:b w:val="false"/>
          <w:color w:val="000000"/>
          <w:sz w:val="20"/>
          <w:u w:val="none"/>
        </w:rPr>
        <w:t>Программные продукты, используемые для управления бизнес-процессами ресторана при отеле.</w:t>
      </w:r>
    </w:p>
    <w:p>
      <w:pPr>
        <w:pStyle w:val="Normal"/>
        <w:spacing w:before="0" w:after="42"/>
        <w:ind w:right="3127"/>
        <w:jc w:val="center"/>
        <w:rPr>
          <w:rFonts w:ascii="Times-Bold" w:hAnsi="Times-Bold"/>
          <w:b/>
          <w:color w:val="auto"/>
          <w:sz w:val="24"/>
          <w:u w:val="none"/>
        </w:rPr>
      </w:pPr>
      <w:r>
        <w:rPr>
          <w:rFonts w:ascii="Times-Bold" w:hAnsi="Times-Bold"/>
          <w:b/>
          <w:color w:val="auto"/>
          <w:sz w:val="24"/>
          <w:u w:val="none"/>
        </w:rPr>
        <w:t xml:space="preserve">Запись на курсы по ссылке </w:t>
      </w:r>
      <w:hyperlink r:id="rId2">
        <w:r>
          <w:rPr>
            <w:rStyle w:val="Hyperlink"/>
            <w:rFonts w:ascii="Times-Roman" w:hAnsi="Times-Roman"/>
            <w:b w:val="false"/>
            <w:color w:val="auto"/>
            <w:sz w:val="24"/>
            <w:u w:val="none"/>
          </w:rPr>
          <w:t>https://forms.yandex.ru/u/651ec4ba3e9d08411182b8e8/</w:t>
        </w:r>
        <w:hyperlink r:id="rId3">
          <w:r>
            <w:rPr>
              <w:rFonts w:ascii="Times-Roman" w:hAnsi="Times-Roman"/>
              <w:b w:val="false"/>
              <w:color w:val="auto"/>
              <w:sz w:val="24"/>
              <w:u w:val="none"/>
            </w:rPr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4906645</wp:posOffset>
                </wp:positionH>
                <wp:positionV relativeFrom="paragraph">
                  <wp:posOffset>50800</wp:posOffset>
                </wp:positionV>
                <wp:extent cx="1388745" cy="1388745"/>
                <wp:effectExtent l="0" t="0" r="0" b="0"/>
                <wp:wrapSquare wrapText="largest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138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hyperlink>
        <w:r>
          <w:rPr>
            <w:rFonts w:ascii="Times-Roman" w:hAnsi="Times-Roman"/>
            <w:b w:val="false"/>
            <w:color w:val="auto"/>
            <w:sz w:val="24"/>
            <w:u w:val="none"/>
          </w:rPr>
          <w:t xml:space="preserve"> </w:t>
        </w:r>
      </w:hyperlink>
    </w:p>
    <w:p>
      <w:pPr>
        <w:pStyle w:val="Normal"/>
        <w:ind w:hanging="10" w:left="0" w:right="2701"/>
        <w:jc w:val="center"/>
        <w:rPr/>
      </w:pPr>
      <w:r>
        <w:rPr>
          <w:sz w:val="22"/>
        </w:rPr>
        <w:t xml:space="preserve">Руководитель программы: доцент кафедры прикладной информатики и документоведения ФБКИ ФГБОУ ВО «ИГУ», к.э.н.  </w:t>
      </w:r>
      <w:r>
        <w:rPr>
          <w:szCs w:val="24"/>
        </w:rPr>
        <w:t>Моргунова Татьяна Александровна</w:t>
      </w:r>
      <w:r>
        <w:rPr/>
        <w:t xml:space="preserve">, </w:t>
      </w:r>
      <w:r>
        <w:rPr>
          <w:lang w:val="en-US"/>
        </w:rPr>
        <w:t>Telegram</w:t>
      </w:r>
      <w:r>
        <w:rPr/>
        <w:t xml:space="preserve">: </w:t>
      </w:r>
      <w:r>
        <w:rPr>
          <w:color w:val="0563C1"/>
          <w:u w:val="single" w:color="0563C1"/>
          <w:lang w:val="en-US"/>
        </w:rPr>
        <w:t>https</w:t>
      </w:r>
      <w:r>
        <w:rPr>
          <w:color w:val="0563C1"/>
          <w:u w:val="single" w:color="0563C1"/>
        </w:rPr>
        <w:t>://</w:t>
      </w:r>
      <w:r>
        <w:rPr>
          <w:color w:val="0563C1"/>
          <w:u w:val="single" w:color="0563C1"/>
          <w:lang w:val="en-US"/>
        </w:rPr>
        <w:t>t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  <w:lang w:val="en-US"/>
        </w:rPr>
        <w:t>me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  <w:lang w:val="en-US"/>
        </w:rPr>
        <w:t>MorgunovaTA</w:t>
      </w:r>
    </w:p>
    <w:p>
      <w:pPr>
        <w:pStyle w:val="Normal"/>
        <w:ind w:hanging="10" w:left="0" w:right="2701"/>
        <w:jc w:val="center"/>
        <w:rPr/>
      </w:pPr>
      <w:r>
        <w:rPr/>
        <w:t xml:space="preserve">т. 8(3952) 52-10-41, 8-914-877-63-63,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r>
        <w:rPr>
          <w:color w:val="0563C1"/>
          <w:u w:val="single" w:color="0563C1"/>
          <w:lang w:val="en-US"/>
        </w:rPr>
        <w:t>dou</w:t>
      </w:r>
      <w:r>
        <w:rPr>
          <w:color w:val="0563C1"/>
          <w:u w:val="single" w:color="0563C1"/>
        </w:rPr>
        <w:t>@</w:t>
      </w:r>
      <w:r>
        <w:rPr>
          <w:color w:val="0563C1"/>
          <w:u w:val="single" w:color="0563C1"/>
          <w:lang w:val="en-US"/>
        </w:rPr>
        <w:t>sr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  <w:lang w:val="en-US"/>
        </w:rPr>
        <w:t>isu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  <w:lang w:val="en-US"/>
        </w:rPr>
        <w:t>ru</w:t>
      </w:r>
    </w:p>
    <w:p>
      <w:pPr>
        <w:pStyle w:val="Normal"/>
        <w:spacing w:before="0" w:after="206"/>
        <w:ind w:hanging="10" w:left="0" w:right="2701"/>
        <w:jc w:val="center"/>
        <w:rPr/>
      </w:pPr>
      <w:r>
        <w:rPr/>
        <w:t>Наш адрес г. Иркутск ул. Лермонтова, 126, каб. 216</w:t>
      </w:r>
      <w:r>
        <w:rPr>
          <w:rFonts w:eastAsia="Calibri" w:cs="Calibri" w:ascii="Calibri" w:hAnsi="Calibri"/>
          <w:sz w:val="22"/>
        </w:rPr>
        <w:t xml:space="preserve"> </w:t>
      </w:r>
    </w:p>
    <w:sectPr>
      <w:type w:val="nextPage"/>
      <w:pgSz w:w="11906" w:h="16838"/>
      <w:pgMar w:left="1071" w:right="394" w:gutter="0" w:header="0" w:top="1440" w:footer="0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-Bold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TimesNewRomanPSMT">
    <w:charset w:val="01"/>
    <w:family w:val="roman"/>
    <w:pitch w:val="variable"/>
  </w:font>
  <w:font w:name="TimesNewRomanPS-BoldMT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34"/>
      <w:ind w:hanging="10" w:left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30492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30492"/>
    <w:rPr>
      <w:color w:val="605E5C"/>
      <w:shd w:fill="E1DFDD" w:val="clear"/>
    </w:rPr>
  </w:style>
  <w:style w:type="character" w:styleId="WW8Num47z0">
    <w:name w:val="WW8Num47z0"/>
    <w:qFormat/>
    <w:rPr/>
  </w:style>
  <w:style w:type="character" w:styleId="WW8Num17z0">
    <w:name w:val="WW8Num17z0"/>
    <w:qFormat/>
    <w:rPr/>
  </w:style>
  <w:style w:type="character" w:styleId="FootnoteCharacters">
    <w:name w:val="Footnote Characters"/>
    <w:qFormat/>
    <w:rPr/>
  </w:style>
  <w:style w:type="character" w:styleId="FootnoteReference">
    <w:name w:val="Foot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a3d47"/>
    <w:pPr>
      <w:spacing w:before="0" w:after="34"/>
      <w:ind w:hanging="10" w:left="720"/>
      <w:contextualSpacing/>
    </w:pPr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7">
    <w:name w:val="WW8Num47"/>
    <w:qFormat/>
  </w:style>
  <w:style w:type="numbering" w:styleId="WW8Num17">
    <w:name w:val="WW8Num1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yandex.ru/u/651ec4ba3e9d08411182b8e8/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LibreOffice/7.6.0.3$MacOSX_X86_64 LibreOffice_project/69edd8b8ebc41d00b4de3915dc82f8f0fc3b6265</Application>
  <AppVersion>15.0000</AppVersion>
  <Pages>1</Pages>
  <Words>357</Words>
  <Characters>2639</Characters>
  <CharactersWithSpaces>2980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2023-05-22T03:13:00Z</dcterms:created>
  <dc:creator>aдминистратор</dc:creator>
  <dc:description/>
  <dc:language>ru-RU</dc:language>
  <cp:lastModifiedBy/>
  <cp:lastPrinted>2023-02-09T01:35:00Z</cp:lastPrinted>
  <dcterms:modified xsi:type="dcterms:W3CDTF">2023-10-10T13:37:28Z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